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Fonts w:ascii="Arial" w:cs="Arial" w:eastAsia="Arial" w:hAnsi="Arial"/>
          <w:b w:val="1"/>
          <w:sz w:val="28"/>
          <w:szCs w:val="28"/>
          <w:rtl w:val="0"/>
        </w:rPr>
        <w:tab/>
        <w:tab/>
        <w:t xml:space="preserve">Risk Assessment</w:t>
      </w:r>
      <w:r w:rsidDel="00000000" w:rsidR="00000000" w:rsidRPr="00000000">
        <w:rPr>
          <w:rtl w:val="0"/>
        </w:rPr>
      </w:r>
    </w:p>
    <w:p w:rsidR="00000000" w:rsidDel="00000000" w:rsidP="00000000" w:rsidRDefault="00000000" w:rsidRPr="00000000" w14:paraId="00000002">
      <w:pP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COVID 19 – updated 1st April 2022-  updated government guidance to PCR testing and self isolation periods </w:t>
      </w:r>
    </w:p>
    <w:tbl>
      <w:tblPr>
        <w:tblStyle w:val="Table1"/>
        <w:tblW w:w="144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2235"/>
        <w:gridCol w:w="3363"/>
        <w:gridCol w:w="4130"/>
        <w:gridCol w:w="1612"/>
        <w:gridCol w:w="1701"/>
        <w:tblGridChange w:id="0">
          <w:tblGrid>
            <w:gridCol w:w="1413"/>
            <w:gridCol w:w="2235"/>
            <w:gridCol w:w="3363"/>
            <w:gridCol w:w="4130"/>
            <w:gridCol w:w="1612"/>
            <w:gridCol w:w="1701"/>
          </w:tblGrid>
        </w:tblGridChange>
      </w:tblGrid>
      <w:tr>
        <w:trPr>
          <w:cantSplit w:val="0"/>
          <w:tblHeader w:val="0"/>
        </w:trP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the hazards?</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 might be harmed </w:t>
            </w:r>
            <w:r w:rsidDel="00000000" w:rsidR="00000000" w:rsidRPr="00000000">
              <w:rPr>
                <w:rtl w:val="0"/>
              </w:rPr>
            </w:r>
          </w:p>
        </w:tc>
        <w:tc>
          <w:tcPr/>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Controls Required</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Controls</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who?</w:t>
            </w:r>
          </w:p>
        </w:tc>
        <w:tc>
          <w:tcPr/>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Action by when?</w:t>
            </w:r>
          </w:p>
        </w:tc>
      </w:tr>
      <w:tr>
        <w:trPr>
          <w:cantSplit w:val="0"/>
          <w:tblHeader w:val="0"/>
        </w:trP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Spread of Covid-19 Coronavirus</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Cleaners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Contractors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Vulnerable groups – Elderly, Pregnant workers, those with existing underlying health conditions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Anyone else who physically comes in contact in relation to the college</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Hand Washing</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 washing facilities with soap and water to continue as best practise.</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Stringent hand washing to continue as best </w:t>
            </w:r>
            <w:r w:rsidDel="00000000" w:rsidR="00000000" w:rsidRPr="00000000">
              <w:rPr>
                <w:rFonts w:ascii="Arial" w:cs="Arial" w:eastAsia="Arial" w:hAnsi="Arial"/>
                <w:sz w:val="22"/>
                <w:szCs w:val="22"/>
                <w:rtl w:val="0"/>
              </w:rPr>
              <w:t xml:space="preserve">practice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hand washing guidance.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hyperlink r:id="rId6">
              <w:r w:rsidDel="00000000" w:rsidR="00000000" w:rsidRPr="00000000">
                <w:rPr>
                  <w:rFonts w:ascii="Arial" w:cs="Arial" w:eastAsia="Arial" w:hAnsi="Arial"/>
                  <w:color w:val="1155cc"/>
                  <w:sz w:val="22"/>
                  <w:szCs w:val="22"/>
                  <w:u w:val="single"/>
                  <w:rtl w:val="0"/>
                </w:rPr>
                <w:t xml:space="preserve">How to wash your hands</w:t>
              </w:r>
            </w:hyperlink>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Drying of hands with disposable paper towels.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color w:val="1155cc"/>
                  <w:sz w:val="22"/>
                  <w:szCs w:val="22"/>
                  <w:u w:val="single"/>
                  <w:rtl w:val="0"/>
                </w:rPr>
                <w:t xml:space="preserve">Paper towels ‘much more effective’ at removing viruses than hand dryers</w:t>
              </w:r>
            </w:hyperlink>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Gel sanitisers in any area where washing facilities not readily available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Cleaning</w:t>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Frequently cleaning and disinfecting objects and surfaces that are touched regularly particularly in areas of high use such as door handles, light switches, reception area using appropriate cleaning products and methods.</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Wearing of Gloves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Where Risk Assessment identifies wearing of gloves as a requirement of the job, an adequate supply of these will be provided. Staff will be instructed on how to remove gloves carefully to reduce contamination and how to dispose of them safely.</w:t>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Asymptomatic testing</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All staff and visitors including therapists will be asked to take a voluntary Lateral Flow Covid test twice weekly before they can undertake any work in the college.  </w:t>
            </w:r>
          </w:p>
          <w:p w:rsidR="00000000" w:rsidDel="00000000" w:rsidP="00000000" w:rsidRDefault="00000000" w:rsidRPr="00000000" w14:paraId="00000047">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Symptoms of Covid-19</w:t>
            </w:r>
          </w:p>
          <w:p w:rsidR="00000000" w:rsidDel="00000000" w:rsidP="00000000" w:rsidRDefault="00000000" w:rsidRPr="00000000" w14:paraId="0000004A">
            <w:pPr>
              <w:spacing w:before="280" w:lineRule="auto"/>
              <w:jc w:val="left"/>
              <w:rPr>
                <w:rFonts w:ascii="Arial" w:cs="Arial" w:eastAsia="Arial" w:hAnsi="Arial"/>
              </w:rPr>
            </w:pPr>
            <w:r w:rsidDel="00000000" w:rsidR="00000000" w:rsidRPr="00000000">
              <w:rPr>
                <w:rFonts w:ascii="Arial" w:cs="Arial" w:eastAsia="Arial" w:hAnsi="Arial"/>
                <w:rtl w:val="0"/>
              </w:rPr>
              <w:t xml:space="preserve">The latest  government legal duty no longer requires people with a positive covid test to self isolate, however </w:t>
            </w:r>
            <w:r w:rsidDel="00000000" w:rsidR="00000000" w:rsidRPr="00000000">
              <w:rPr>
                <w:rFonts w:ascii="Arial" w:cs="Arial" w:eastAsia="Arial" w:hAnsi="Arial"/>
                <w:color w:val="0b0c0c"/>
                <w:highlight w:val="white"/>
                <w:rtl w:val="0"/>
              </w:rPr>
              <w:t xml:space="preserve">If you have a positive COVID-19 test result, staff and learners will be advised to stay at home and avoid contact with other people for 5 days after the day you took your test. </w:t>
            </w: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College Administrator to undertake regular stock checks and advise when replenishment stocks are needed.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sz w:val="22"/>
                <w:szCs w:val="22"/>
                <w:rtl w:val="0"/>
              </w:rPr>
              <w:t xml:space="preserve">PPE Compulsory for all learner intimate care tasks</w:t>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7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8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9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College Administrator and cleaning contractor</w:t>
            </w:r>
          </w:p>
          <w:p w:rsidR="00000000" w:rsidDel="00000000" w:rsidP="00000000" w:rsidRDefault="00000000" w:rsidRPr="00000000" w14:paraId="0000009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A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1">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All staff</w:t>
            </w:r>
          </w:p>
          <w:p w:rsidR="00000000" w:rsidDel="00000000" w:rsidP="00000000" w:rsidRDefault="00000000" w:rsidRPr="00000000" w14:paraId="000000B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Continuing</w:t>
            </w:r>
          </w:p>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10">
      <w:pPr>
        <w:rPr>
          <w:rFonts w:ascii="Arial" w:cs="Arial" w:eastAsia="Arial" w:hAnsi="Arial"/>
          <w:sz w:val="22"/>
          <w:szCs w:val="22"/>
        </w:rPr>
      </w:pPr>
      <w:r w:rsidDel="00000000" w:rsidR="00000000" w:rsidRPr="00000000">
        <w:rPr>
          <w:rtl w:val="0"/>
        </w:rPr>
      </w:r>
    </w:p>
    <w:tbl>
      <w:tblPr>
        <w:tblStyle w:val="Table2"/>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gridCol w:w="6974"/>
        <w:tblGridChange w:id="0">
          <w:tblGrid>
            <w:gridCol w:w="6974"/>
            <w:gridCol w:w="6974"/>
          </w:tblGrid>
        </w:tblGridChange>
      </w:tblGrid>
      <w:tr>
        <w:trPr>
          <w:cantSplit w:val="0"/>
          <w:tblHeader w:val="0"/>
        </w:trPr>
        <w:tc>
          <w:tcPr/>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 xml:space="preserve">Date of review</w:t>
            </w:r>
          </w:p>
        </w:tc>
        <w:tc>
          <w:tcPr/>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 xml:space="preserve">01/04/2022</w:t>
            </w:r>
          </w:p>
        </w:tc>
      </w:tr>
      <w:tr>
        <w:trPr>
          <w:cantSplit w:val="0"/>
          <w:tblHeader w:val="0"/>
        </w:trPr>
        <w:tc>
          <w:tcPr/>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 xml:space="preserve">Reviewed by</w:t>
            </w:r>
          </w:p>
        </w:tc>
        <w:tc>
          <w:tcPr/>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sz w:val="22"/>
                <w:szCs w:val="22"/>
                <w:rtl w:val="0"/>
              </w:rPr>
              <w:t xml:space="preserve">C Davies</w:t>
            </w:r>
          </w:p>
        </w:tc>
      </w:tr>
    </w:tbl>
    <w:p w:rsidR="00000000" w:rsidDel="00000000" w:rsidP="00000000" w:rsidRDefault="00000000" w:rsidRPr="00000000" w14:paraId="000001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8863200" cy="5905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63200" cy="5905500"/>
                    </a:xfrm>
                    <a:prstGeom prst="rect"/>
                    <a:ln/>
                  </pic:spPr>
                </pic:pic>
              </a:graphicData>
            </a:graphic>
          </wp:inline>
        </w:drawing>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tabs>
        <w:tab w:val="center" w:pos="4513"/>
        <w:tab w:val="right" w:pos="9026"/>
      </w:tabs>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2"/>
        <w:szCs w:val="22"/>
      </w:rPr>
      <w:drawing>
        <wp:inline distB="0" distT="0" distL="0" distR="0">
          <wp:extent cx="2562225" cy="1104900"/>
          <wp:effectExtent b="0" l="0" r="0" t="0"/>
          <wp:docPr descr="Logo" id="1" name="image1.jpg"/>
          <a:graphic>
            <a:graphicData uri="http://schemas.openxmlformats.org/drawingml/2006/picture">
              <pic:pic>
                <pic:nvPicPr>
                  <pic:cNvPr descr="Logo" id="0" name="image1.jpg"/>
                  <pic:cNvPicPr preferRelativeResize="0"/>
                </pic:nvPicPr>
                <pic:blipFill>
                  <a:blip r:embed="rId1"/>
                  <a:srcRect b="0" l="0" r="0" t="0"/>
                  <a:stretch>
                    <a:fillRect/>
                  </a:stretch>
                </pic:blipFill>
                <pic:spPr>
                  <a:xfrm>
                    <a:off x="0" y="0"/>
                    <a:ext cx="2562225" cy="11049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538135"/>
      <w:sz w:val="22"/>
      <w:szCs w:val="22"/>
    </w:rPr>
  </w:style>
  <w:style w:type="paragraph" w:styleId="Heading6">
    <w:name w:val="heading 6"/>
    <w:basedOn w:val="Normal"/>
    <w:next w:val="Normal"/>
    <w:pPr>
      <w:spacing w:after="0" w:lineRule="auto"/>
      <w:jc w:val="left"/>
    </w:pPr>
    <w:rPr>
      <w:smallCaps w:val="1"/>
      <w:color w:val="70ad47"/>
      <w:sz w:val="22"/>
      <w:szCs w:val="22"/>
    </w:rPr>
  </w:style>
  <w:style w:type="paragraph" w:styleId="Title">
    <w:name w:val="Title"/>
    <w:basedOn w:val="Normal"/>
    <w:next w:val="Normal"/>
    <w:pPr>
      <w:pBdr>
        <w:top w:color="70ad47" w:space="1" w:sz="8" w:val="single"/>
      </w:pBdr>
      <w:spacing w:after="120" w:line="240" w:lineRule="auto"/>
      <w:jc w:val="right"/>
    </w:pPr>
    <w:rPr>
      <w:smallCaps w:val="1"/>
      <w:color w:val="262626"/>
      <w:sz w:val="52"/>
      <w:szCs w:val="52"/>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nhs.uk/live-well/healthy-body/best-way-to-wash-your-hands/" TargetMode="External"/><Relationship Id="rId7" Type="http://schemas.openxmlformats.org/officeDocument/2006/relationships/hyperlink" Target="https://www.nursingtimes.net/news/research-and-innovation/paper-towels-much-more-effective-at-removing-viruses-than-hand-dryers-17-04-2020/" TargetMode="Externa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